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 RAN WG2 Meeting #107</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R2-1910743</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 xml:space="preserve">Prague, Czech Republic,26th - 30th August 2019                 </w:t>
      </w:r>
      <w:bookmarkStart w:id="4" w:name="_GoBack"/>
      <w:bookmarkEnd w:id="4"/>
      <w:r>
        <w:rPr>
          <w:rFonts w:hint="eastAsia" w:ascii="Arial" w:hAnsi="Arial" w:cs="Arial"/>
          <w:b/>
          <w:bCs/>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the fast RLF recovery with the applying of CHO and DC</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11.9.3.5</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At RAN2#106, some working assumptions have been made for fast failure recovery [1]:</w:t>
      </w:r>
    </w:p>
    <w:p>
      <w:pPr>
        <w:pStyle w:val="82"/>
        <w:pBdr>
          <w:top w:val="single" w:color="auto" w:sz="4" w:space="1"/>
          <w:left w:val="single" w:color="auto" w:sz="4" w:space="4"/>
          <w:bottom w:val="single" w:color="auto" w:sz="4" w:space="1"/>
          <w:right w:val="single" w:color="auto" w:sz="4" w:space="4"/>
        </w:pBdr>
      </w:pPr>
      <w:r>
        <w:t>Working assumption (to be confirmed next meeting after checking further details)</w:t>
      </w:r>
    </w:p>
    <w:p>
      <w:pPr>
        <w:pStyle w:val="82"/>
        <w:pBdr>
          <w:top w:val="single" w:color="auto" w:sz="4" w:space="1"/>
          <w:left w:val="single" w:color="auto" w:sz="4" w:space="4"/>
          <w:bottom w:val="single" w:color="auto" w:sz="4" w:space="1"/>
          <w:right w:val="single" w:color="auto" w:sz="4" w:space="4"/>
        </w:pBdr>
        <w:rPr>
          <w:highlight w:val="yellow"/>
        </w:rPr>
      </w:pPr>
      <w:r>
        <w:rPr>
          <w:highlight w:val="yellow"/>
        </w:rPr>
        <w:t>3</w:t>
      </w:r>
      <w:r>
        <w:rPr>
          <w:highlight w:val="yellow"/>
        </w:rPr>
        <w:tab/>
      </w:r>
      <w:r>
        <w:rPr>
          <w:highlight w:val="yellow"/>
        </w:rPr>
        <w:t>At RLF the UE performs cell selection and if the selected cell is a CHO candidate then the UE attempts CHO execution, otherwise re-establishment is performed</w:t>
      </w:r>
    </w:p>
    <w:p>
      <w:pPr>
        <w:pStyle w:val="82"/>
        <w:pBdr>
          <w:top w:val="single" w:color="auto" w:sz="4" w:space="1"/>
          <w:left w:val="single" w:color="auto" w:sz="4" w:space="4"/>
          <w:bottom w:val="single" w:color="auto" w:sz="4" w:space="1"/>
          <w:right w:val="single" w:color="auto" w:sz="4" w:space="4"/>
        </w:pBdr>
      </w:pPr>
      <w:r>
        <w:t>4</w:t>
      </w:r>
      <w:r>
        <w:tab/>
      </w:r>
      <w:r>
        <w:t>At legacy handover failure (T304 expiry) or failure to access a CHO candidate cell (T304-like expiry), the UE performs cell selection and if the selected cell is a CHO candidate then the UE attempts CHO execution, otherwise re-establishment is performed</w:t>
      </w:r>
    </w:p>
    <w:p>
      <w:pPr>
        <w:rPr>
          <w:rFonts w:eastAsia="宋体"/>
        </w:rPr>
      </w:pPr>
      <w:r>
        <w:rPr>
          <w:rFonts w:hint="eastAsia" w:eastAsia="MS Mincho"/>
        </w:rPr>
        <w:t>Besides the NR_eMob WI, there</w:t>
      </w:r>
      <w:r>
        <w:rPr>
          <w:rFonts w:eastAsia="MS Mincho"/>
        </w:rPr>
        <w:t>’</w:t>
      </w:r>
      <w:r>
        <w:rPr>
          <w:rFonts w:hint="eastAsia" w:eastAsia="MS Mincho"/>
        </w:rPr>
        <w:t xml:space="preserve">s another R16 WI </w:t>
      </w:r>
      <w:r>
        <w:rPr>
          <w:rFonts w:eastAsia="MS Mincho"/>
        </w:rPr>
        <w:t>“</w:t>
      </w:r>
      <w:r>
        <w:rPr>
          <w:rFonts w:hint="eastAsia" w:eastAsia="MS Mincho"/>
        </w:rPr>
        <w:t>DC/CA enhancements</w:t>
      </w:r>
      <w:r>
        <w:rPr>
          <w:rFonts w:eastAsia="MS Mincho"/>
        </w:rPr>
        <w:t>”</w:t>
      </w:r>
      <w:r>
        <w:rPr>
          <w:rFonts w:hint="eastAsia" w:eastAsia="MS Mincho"/>
        </w:rPr>
        <w:t xml:space="preserve"> which also discusses the </w:t>
      </w:r>
      <w:r>
        <w:rPr>
          <w:rFonts w:hint="eastAsia" w:eastAsia="宋体"/>
        </w:rPr>
        <w:t>fast failure recovery</w:t>
      </w:r>
      <w:r>
        <w:rPr>
          <w:rFonts w:hint="eastAsia" w:eastAsia="MS Mincho"/>
        </w:rPr>
        <w:t xml:space="preserve"> related performance.</w:t>
      </w:r>
      <w:r>
        <w:rPr>
          <w:rFonts w:hint="eastAsia" w:eastAsia="宋体"/>
        </w:rPr>
        <w:t xml:space="preserve"> And some agreements for MCG fast recovery have been made at RAN2#105bis meeting [2] and RAN2#106 meeting [1]:</w:t>
      </w:r>
    </w:p>
    <w:p>
      <w:pPr>
        <w:pStyle w:val="82"/>
        <w:pBdr>
          <w:top w:val="single" w:color="auto" w:sz="4" w:space="1"/>
          <w:left w:val="single" w:color="auto" w:sz="4" w:space="4"/>
          <w:bottom w:val="single" w:color="auto" w:sz="4" w:space="1"/>
          <w:right w:val="single" w:color="auto" w:sz="4" w:space="4"/>
        </w:pBdr>
      </w:pPr>
      <w:r>
        <w:t>Agreements for MCG fast recovery:</w:t>
      </w:r>
    </w:p>
    <w:p>
      <w:pPr>
        <w:pStyle w:val="82"/>
        <w:pBdr>
          <w:top w:val="single" w:color="auto" w:sz="4" w:space="1"/>
          <w:left w:val="single" w:color="auto" w:sz="4" w:space="4"/>
          <w:bottom w:val="single" w:color="auto" w:sz="4" w:space="1"/>
          <w:right w:val="single" w:color="auto" w:sz="4" w:space="4"/>
        </w:pBdr>
      </w:pPr>
      <w:r>
        <w:t>0</w:t>
      </w:r>
      <w:r>
        <w:tab/>
      </w:r>
      <w:r>
        <w:t>MCG fast recovery targets all MRDC architecture options</w:t>
      </w:r>
    </w:p>
    <w:p>
      <w:pPr>
        <w:pStyle w:val="82"/>
        <w:pBdr>
          <w:top w:val="single" w:color="auto" w:sz="4" w:space="1"/>
          <w:left w:val="single" w:color="auto" w:sz="4" w:space="4"/>
          <w:bottom w:val="single" w:color="auto" w:sz="4" w:space="1"/>
          <w:right w:val="single" w:color="auto" w:sz="4" w:space="4"/>
        </w:pBdr>
      </w:pPr>
      <w:r>
        <w:t>1:</w:t>
      </w:r>
      <w:r>
        <w:tab/>
      </w:r>
      <w:r>
        <w:t>When MCG failure occurs, UE follows SCG failure-like procedure:</w:t>
      </w:r>
    </w:p>
    <w:p>
      <w:pPr>
        <w:pStyle w:val="82"/>
        <w:pBdr>
          <w:top w:val="single" w:color="auto" w:sz="4" w:space="1"/>
          <w:left w:val="single" w:color="auto" w:sz="4" w:space="4"/>
          <w:bottom w:val="single" w:color="auto" w:sz="4" w:space="1"/>
          <w:right w:val="single" w:color="auto" w:sz="4" w:space="4"/>
        </w:pBdr>
      </w:pPr>
      <w:r>
        <w:t>i.</w:t>
      </w:r>
      <w:r>
        <w:tab/>
      </w:r>
      <w:r>
        <w:t xml:space="preserve">UE does not trigger RRC connection re-establishment. </w:t>
      </w:r>
    </w:p>
    <w:p>
      <w:pPr>
        <w:pStyle w:val="82"/>
        <w:pBdr>
          <w:top w:val="single" w:color="auto" w:sz="4" w:space="1"/>
          <w:left w:val="single" w:color="auto" w:sz="4" w:space="4"/>
          <w:bottom w:val="single" w:color="auto" w:sz="4" w:space="1"/>
          <w:right w:val="single" w:color="auto" w:sz="4" w:space="4"/>
        </w:pBdr>
      </w:pPr>
      <w:r>
        <w:t>ii.</w:t>
      </w:r>
      <w:r>
        <w:tab/>
      </w:r>
      <w:r>
        <w:rPr>
          <w:highlight w:val="yellow"/>
        </w:rPr>
        <w:t>UE triggers an MCG failure procedure in which a failure information message is transmitted to the network via SCG.</w:t>
      </w:r>
    </w:p>
    <w:p>
      <w:pPr>
        <w:pStyle w:val="82"/>
        <w:pBdr>
          <w:top w:val="single" w:color="auto" w:sz="4" w:space="1"/>
          <w:left w:val="single" w:color="auto" w:sz="4" w:space="4"/>
          <w:bottom w:val="single" w:color="auto" w:sz="4" w:space="1"/>
          <w:right w:val="single" w:color="auto" w:sz="4" w:space="4"/>
        </w:pBdr>
        <w:rPr>
          <w:rFonts w:eastAsia="宋体"/>
          <w:lang w:val="en-US" w:eastAsia="zh-CN"/>
        </w:rPr>
      </w:pPr>
      <w:r>
        <w:t xml:space="preserve">2: </w:t>
      </w:r>
      <w:r>
        <w:tab/>
      </w:r>
      <w:r>
        <w:rPr>
          <w:highlight w:val="yellow"/>
        </w:rPr>
        <w:t>MCG fast recovery targets the following use cases MCG leg RLF</w:t>
      </w:r>
    </w:p>
    <w:p/>
    <w:p>
      <w:pPr>
        <w:pStyle w:val="82"/>
        <w:pBdr>
          <w:top w:val="single" w:color="auto" w:sz="4" w:space="1"/>
          <w:left w:val="single" w:color="auto" w:sz="4" w:space="4"/>
          <w:bottom w:val="single" w:color="auto" w:sz="4" w:space="1"/>
          <w:right w:val="single" w:color="auto" w:sz="4" w:space="4"/>
        </w:pBdr>
      </w:pPr>
      <w:r>
        <w:t xml:space="preserve">Agreements </w:t>
      </w:r>
    </w:p>
    <w:p>
      <w:pPr>
        <w:pStyle w:val="82"/>
        <w:pBdr>
          <w:top w:val="single" w:color="auto" w:sz="4" w:space="1"/>
          <w:left w:val="single" w:color="auto" w:sz="4" w:space="4"/>
          <w:bottom w:val="single" w:color="auto" w:sz="4" w:space="1"/>
          <w:right w:val="single" w:color="auto" w:sz="4" w:space="4"/>
        </w:pBdr>
      </w:pPr>
      <w:r>
        <w:t>FFS Whether a guard timer is needed for the MCG failure indication message</w:t>
      </w:r>
    </w:p>
    <w:p>
      <w:pPr>
        <w:pStyle w:val="82"/>
        <w:pBdr>
          <w:top w:val="single" w:color="auto" w:sz="4" w:space="1"/>
          <w:left w:val="single" w:color="auto" w:sz="4" w:space="4"/>
          <w:bottom w:val="single" w:color="auto" w:sz="4" w:space="1"/>
          <w:right w:val="single" w:color="auto" w:sz="4" w:space="4"/>
        </w:pBdr>
      </w:pPr>
      <w:r>
        <w:t>1</w:t>
      </w:r>
      <w:r>
        <w:tab/>
      </w:r>
      <w:r>
        <w:t>Once the MCG failure indication is triggered, the UE shall:</w:t>
      </w:r>
    </w:p>
    <w:p>
      <w:pPr>
        <w:pStyle w:val="82"/>
        <w:pBdr>
          <w:top w:val="single" w:color="auto" w:sz="4" w:space="1"/>
          <w:left w:val="single" w:color="auto" w:sz="4" w:space="4"/>
          <w:bottom w:val="single" w:color="auto" w:sz="4" w:space="1"/>
          <w:right w:val="single" w:color="auto" w:sz="4" w:space="4"/>
        </w:pBdr>
      </w:pPr>
      <w:r>
        <w:t>-</w:t>
      </w:r>
      <w:r>
        <w:tab/>
      </w:r>
      <w:r>
        <w:t>transmit the MCG failure indication;</w:t>
      </w:r>
    </w:p>
    <w:p>
      <w:pPr>
        <w:pStyle w:val="82"/>
        <w:pBdr>
          <w:top w:val="single" w:color="auto" w:sz="4" w:space="1"/>
          <w:left w:val="single" w:color="auto" w:sz="4" w:space="4"/>
          <w:bottom w:val="single" w:color="auto" w:sz="4" w:space="1"/>
          <w:right w:val="single" w:color="auto" w:sz="4" w:space="4"/>
        </w:pBdr>
      </w:pPr>
      <w:r>
        <w:t>−</w:t>
      </w:r>
      <w:r>
        <w:tab/>
      </w:r>
      <w:r>
        <w:t>suspend MCG transmission for all SRBs and DRBs;</w:t>
      </w:r>
    </w:p>
    <w:p>
      <w:pPr>
        <w:pStyle w:val="82"/>
        <w:pBdr>
          <w:top w:val="single" w:color="auto" w:sz="4" w:space="1"/>
          <w:left w:val="single" w:color="auto" w:sz="4" w:space="4"/>
          <w:bottom w:val="single" w:color="auto" w:sz="4" w:space="1"/>
          <w:right w:val="single" w:color="auto" w:sz="4" w:space="4"/>
        </w:pBdr>
      </w:pPr>
      <w:r>
        <w:t>−</w:t>
      </w:r>
      <w:r>
        <w:tab/>
      </w:r>
      <w:r>
        <w:t>reset MCG-MAC;</w:t>
      </w:r>
    </w:p>
    <w:p>
      <w:pPr>
        <w:pStyle w:val="82"/>
        <w:pBdr>
          <w:top w:val="single" w:color="auto" w:sz="4" w:space="1"/>
          <w:left w:val="single" w:color="auto" w:sz="4" w:space="4"/>
          <w:bottom w:val="single" w:color="auto" w:sz="4" w:space="1"/>
          <w:right w:val="single" w:color="auto" w:sz="4" w:space="4"/>
        </w:pBdr>
      </w:pPr>
      <w:r>
        <w:t>−</w:t>
      </w:r>
      <w:r>
        <w:tab/>
      </w:r>
      <w:r>
        <w:t>maintain the current measurement configurations from both the MN and the SN, and continue measurements based on configuration from the MN and the SN if possible.</w:t>
      </w:r>
    </w:p>
    <w:p>
      <w:pPr>
        <w:pStyle w:val="82"/>
        <w:pBdr>
          <w:top w:val="single" w:color="auto" w:sz="4" w:space="1"/>
          <w:left w:val="single" w:color="auto" w:sz="4" w:space="4"/>
          <w:bottom w:val="single" w:color="auto" w:sz="4" w:space="1"/>
          <w:right w:val="single" w:color="auto" w:sz="4" w:space="4"/>
        </w:pBdr>
      </w:pPr>
      <w:r>
        <w:t>FFS whether switch the primaryPath to SCG is needed</w:t>
      </w:r>
    </w:p>
    <w:p>
      <w:pPr>
        <w:pStyle w:val="82"/>
        <w:pBdr>
          <w:top w:val="single" w:color="auto" w:sz="4" w:space="1"/>
          <w:left w:val="single" w:color="auto" w:sz="4" w:space="4"/>
          <w:bottom w:val="single" w:color="auto" w:sz="4" w:space="1"/>
          <w:right w:val="single" w:color="auto" w:sz="4" w:space="4"/>
        </w:pBdr>
        <w:rPr>
          <w:highlight w:val="yellow"/>
        </w:rPr>
      </w:pPr>
      <w:r>
        <w:rPr>
          <w:highlight w:val="yellow"/>
        </w:rPr>
        <w:t>2</w:t>
      </w:r>
      <w:r>
        <w:rPr>
          <w:highlight w:val="yellow"/>
        </w:rPr>
        <w:tab/>
      </w:r>
      <w:r>
        <w:rPr>
          <w:highlight w:val="yellow"/>
        </w:rPr>
        <w:t xml:space="preserve">If SCG failure is detected while MCG is suspended then initiate RRC re-establishment procedure </w:t>
      </w:r>
    </w:p>
    <w:p>
      <w:pPr>
        <w:pStyle w:val="82"/>
        <w:pBdr>
          <w:top w:val="single" w:color="auto" w:sz="4" w:space="1"/>
          <w:left w:val="single" w:color="auto" w:sz="4" w:space="4"/>
          <w:bottom w:val="single" w:color="auto" w:sz="4" w:space="1"/>
          <w:right w:val="single" w:color="auto" w:sz="4" w:space="4"/>
        </w:pBdr>
      </w:pPr>
      <w:r>
        <w:t>3</w:t>
      </w:r>
      <w:r>
        <w:tab/>
      </w:r>
      <w:r>
        <w:t>Upon receiving the MCG failure indication, the MN sends reconfiguration with sync or RRC Release to the UE via SRB1.</w:t>
      </w:r>
    </w:p>
    <w:p>
      <w:pPr>
        <w:pStyle w:val="82"/>
        <w:pBdr>
          <w:top w:val="single" w:color="auto" w:sz="4" w:space="1"/>
          <w:left w:val="single" w:color="auto" w:sz="4" w:space="4"/>
          <w:bottom w:val="single" w:color="auto" w:sz="4" w:space="1"/>
          <w:right w:val="single" w:color="auto" w:sz="4" w:space="4"/>
        </w:pBdr>
      </w:pPr>
      <w:r>
        <w:t>4</w:t>
      </w:r>
      <w:r>
        <w:tab/>
      </w:r>
      <w:r>
        <w:t>Upon reception of reconfig with sync the UE resumes MCG transmission if suspended</w:t>
      </w:r>
    </w:p>
    <w:p>
      <w:pPr>
        <w:spacing w:beforeLines="50" w:line="260" w:lineRule="auto"/>
      </w:pPr>
      <w:r>
        <w:rPr>
          <w:rFonts w:hint="eastAsia"/>
        </w:rPr>
        <w:t xml:space="preserve">In this contribution, we discuss the fast RLF recovery in case both CHO and DC are configured for the UE.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p>
      <w:r>
        <w:rPr>
          <w:rFonts w:hint="eastAsia"/>
        </w:rPr>
        <w:t xml:space="preserve">In some cases, a UE may be configured in the operation of DC and CHO. The time from the UE receiving a CHO command to performing a CHO execution may be relatively long. During this period, the source quality may deteriorate rapidly and then RLF may happen on the MCG. However, the SCG may still have good radio link quality and maintain the normal communication with the UE due to the different coverage of MCG and SCG. In this particular case, how should we achieve a fast MCG recovery? e.g. to trigger an MCG failure report procedure (i.e. transmit a failure information message to the network via SCG) or to perform a CHO related failure handling (i.e. the UE performs cell selection and if the selected cell is a CHO candidate then the UE attempts CHO execution, otherwise re-establishment is performed). Besides, note that in either cases, if SCG failure is detected or no CHO candidate cell is selected, the UE would fallback to perform the RRC re-establishment procedure. </w:t>
      </w:r>
    </w:p>
    <w:p>
      <w:r>
        <w:rPr>
          <w:rFonts w:hint="eastAsia"/>
        </w:rPr>
        <w:t>To achieve a better fast MCG recovery, another possibility is to combine these two schemes, in which case, the UE can choose to firstly initiate one scheme and then attempt another scheme if the first scheme fails. For example, when the MCG RLF is detected, the UE performs cell selection and if the selected cell is a CHO candidate then the UE attempts CHO execution, otherwise the UE triggers an MCG failure report procedure to report the failure information to the network via SCG. Compared with triggering MCG failure report procedure directly, the combined scheme may have a benefit for reducing the interruption delay caused by MCG failure. If to report MCG failure information via SCG, with the reception of the MCG failure information, the SCG needs to transfer the MCG failure information back to the MCG. And then, the MCG can take actions correspondingly, e.g. instruct the UE to perform primary cell change, perform inter-node handover etc. The interruption delay and signaling overhead would be large in this case. Besides, in case the SCG failure is detected after MCG failure report procedure is initiated, the UE can be hanging waiting for a response message from the network until the guard timer expires or the SCG RLC retransmissions reach to the max times. Thus the unexpected long delay may be introduced before the UE can fall-back to the RRC re-establishment procedure.</w:t>
      </w:r>
    </w:p>
    <w:p>
      <w:pPr>
        <w:numPr>
          <w:ilvl w:val="255"/>
          <w:numId w:val="0"/>
        </w:numPr>
        <w:rPr>
          <w:b/>
          <w:bCs/>
        </w:rPr>
      </w:pPr>
      <w:r>
        <w:rPr>
          <w:rFonts w:hint="eastAsia"/>
          <w:b/>
          <w:bCs/>
        </w:rPr>
        <w:t>Proposal 1: When the MCG RLF is detected in case that both DC and CHO is configured for the UE, the UE performs cell selection and if the selected cell is a CHO candidate then the UE attempts CHO execution, otherwise the UE triggers an MCG failure report procedure to report the failure information to the network via SCG.</w:t>
      </w:r>
    </w:p>
    <w:p>
      <w:r>
        <w:rPr>
          <w:rFonts w:hint="eastAsia"/>
        </w:rPr>
        <w:t>Additionally, CHO is also considered as a possible solution to improve SCG change reliability and robustness, as discussed in our companion paper [3]. If CHO is supported in SCG change, the same work assumption is also applicable for the SCG failure recovery. Therefore, the similar scheme with the combination of existing SCG failure procedure and CHO related failure handling can be used for fast SCG failure recovery. Given that, we have the following proposals:</w:t>
      </w:r>
    </w:p>
    <w:p>
      <w:pPr>
        <w:numPr>
          <w:ilvl w:val="255"/>
          <w:numId w:val="0"/>
        </w:numPr>
        <w:rPr>
          <w:b/>
          <w:bCs/>
        </w:rPr>
      </w:pPr>
      <w:r>
        <w:rPr>
          <w:rFonts w:hint="eastAsia"/>
          <w:b/>
          <w:bCs/>
        </w:rPr>
        <w:t>Proposal 2: When the SCG failure is detected in case that both DC and CHO based SCG mobility are configured for the UE, the UE performs cell selection and if the selected cell is a CHO candidate then the UE attempts CHO execution, otherwise the UE triggers an SCG failure report procedure to report the failure information to the network via MCG.</w:t>
      </w:r>
    </w:p>
    <w:p>
      <w:r>
        <w:rPr>
          <w:rFonts w:hint="eastAsia"/>
        </w:rPr>
        <w:t>For fast MCG/SCG failure recovery, although the combined scheme has a gain in reducing interruption delay and signaling overhead, directly triggering failure report procedure is still beneficial in case no CHO candidate meets the cell selection criteria. So directly triggering failure report procedure to report CG failure information via the other cell group shall also be allowed for the UE when CG failure is detected. T</w:t>
      </w:r>
      <w:bookmarkEnd w:id="2"/>
      <w:r>
        <w:rPr>
          <w:rFonts w:hint="eastAsia"/>
        </w:rPr>
        <w:t xml:space="preserve">o allow the network having more control of the UE behavior, the network can send an indication to instruct whether the UE </w:t>
      </w:r>
      <w:r>
        <w:t xml:space="preserve">should </w:t>
      </w:r>
      <w:r>
        <w:rPr>
          <w:rFonts w:hint="eastAsia"/>
        </w:rPr>
        <w:t>report CG failure information via the other cell group or perform cell selection first</w:t>
      </w:r>
      <w:r>
        <w:t>.</w:t>
      </w:r>
      <w:r>
        <w:rPr>
          <w:rFonts w:hint="eastAsia"/>
        </w:rPr>
        <w:t xml:space="preserve"> </w:t>
      </w:r>
      <w:r>
        <w:t xml:space="preserve">In the latter case, </w:t>
      </w:r>
      <w:r>
        <w:rPr>
          <w:rFonts w:hint="eastAsia"/>
        </w:rPr>
        <w:t xml:space="preserve">if the selected cell is a CHO candidate cell for this cell group, then the UE attempts CHO execution. Otherwise the UE reports CG failure information via the other cell group. For example, a new indicator can be introduced in the </w:t>
      </w:r>
      <w:r>
        <w:rPr>
          <w:rFonts w:hint="eastAsia"/>
          <w:i/>
          <w:iCs/>
        </w:rPr>
        <w:t>RRCReconfiguration</w:t>
      </w:r>
      <w:r>
        <w:rPr>
          <w:rFonts w:hint="eastAsia"/>
        </w:rPr>
        <w:t xml:space="preserve"> message.</w:t>
      </w:r>
    </w:p>
    <w:p>
      <w:pPr>
        <w:rPr>
          <w:b/>
          <w:bCs/>
        </w:rPr>
      </w:pPr>
      <w:r>
        <w:rPr>
          <w:rFonts w:hint="eastAsia"/>
          <w:b/>
          <w:bCs/>
        </w:rPr>
        <w:t xml:space="preserve">Proposal 3: </w:t>
      </w:r>
      <w:r>
        <w:rPr>
          <w:b/>
          <w:bCs/>
        </w:rPr>
        <w:t>W</w:t>
      </w:r>
      <w:r>
        <w:rPr>
          <w:rFonts w:hint="eastAsia"/>
          <w:b/>
          <w:bCs/>
        </w:rPr>
        <w:t xml:space="preserve">hen CG failure happens on one cell group, </w:t>
      </w:r>
      <w:r>
        <w:rPr>
          <w:b/>
          <w:bCs/>
        </w:rPr>
        <w:t>t</w:t>
      </w:r>
      <w:r>
        <w:rPr>
          <w:rFonts w:hint="eastAsia"/>
          <w:b/>
          <w:bCs/>
        </w:rPr>
        <w:t xml:space="preserve">he network can </w:t>
      </w:r>
      <w:r>
        <w:rPr>
          <w:b/>
          <w:bCs/>
        </w:rPr>
        <w:t xml:space="preserve">indicate </w:t>
      </w:r>
      <w:r>
        <w:rPr>
          <w:rFonts w:hint="eastAsia"/>
          <w:b/>
          <w:bCs/>
        </w:rPr>
        <w:t xml:space="preserve">whether the UE </w:t>
      </w:r>
      <w:r>
        <w:rPr>
          <w:b/>
          <w:bCs/>
        </w:rPr>
        <w:t xml:space="preserve">should </w:t>
      </w:r>
      <w:r>
        <w:rPr>
          <w:rFonts w:hint="eastAsia"/>
          <w:b/>
          <w:bCs/>
        </w:rPr>
        <w:t>report CG failure information via the other cell group or perform cell selection first</w:t>
      </w:r>
      <w:r>
        <w:rPr>
          <w:b/>
          <w:bCs/>
        </w:rPr>
        <w:t>. I</w:t>
      </w:r>
      <w:r>
        <w:rPr>
          <w:rFonts w:hint="eastAsia"/>
          <w:b/>
          <w:bCs/>
        </w:rPr>
        <w:t>f the selected cell is a CHO candidate cell for this cell group, then the UE attempts CHO execution. Otherwise the UE reports CG failure information via the other cell group.</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In this contribution,</w:t>
      </w:r>
      <w:r>
        <w:rPr>
          <w:rFonts w:hint="eastAsia"/>
        </w:rPr>
        <w:t xml:space="preserve"> we discuss the fast RLF recovery in case that both CHO and DC are configured for the UE with the following proposals:</w:t>
      </w:r>
    </w:p>
    <w:p>
      <w:pPr>
        <w:numPr>
          <w:ilvl w:val="255"/>
          <w:numId w:val="0"/>
        </w:numPr>
        <w:rPr>
          <w:b/>
          <w:bCs/>
        </w:rPr>
      </w:pPr>
      <w:r>
        <w:rPr>
          <w:rFonts w:hint="eastAsia"/>
          <w:b/>
          <w:bCs/>
        </w:rPr>
        <w:t>Proposal 1: When the MCG RLF is detected in case that both DC and CHO is configured for the UE, the UE performs cell selection and if the selected cell is a CHO candidate then the UE attempts CHO execution, otherwise the UE triggers an MCG failure report procedure to report the failure information to the network via SCG.</w:t>
      </w:r>
    </w:p>
    <w:p>
      <w:pPr>
        <w:numPr>
          <w:ilvl w:val="255"/>
          <w:numId w:val="0"/>
        </w:numPr>
        <w:rPr>
          <w:b/>
          <w:bCs/>
        </w:rPr>
      </w:pPr>
      <w:r>
        <w:rPr>
          <w:rFonts w:hint="eastAsia"/>
          <w:b/>
          <w:bCs/>
        </w:rPr>
        <w:t>Proposal 2: When the SCG failure is detected in case that both DC and CHO based SCG mobility are configured for the UE, the UE performs cell selection and if the selected cell is a CHO candidate then the UE attempts CHO execution, otherwise the UE triggers an SCG failure report procedure to report the failure information to the network via MCG.</w:t>
      </w:r>
    </w:p>
    <w:p>
      <w:pPr>
        <w:rPr>
          <w:b/>
          <w:bCs/>
        </w:rPr>
      </w:pPr>
      <w:r>
        <w:rPr>
          <w:rFonts w:hint="eastAsia"/>
          <w:b/>
          <w:bCs/>
        </w:rPr>
        <w:t xml:space="preserve">Proposal 3: </w:t>
      </w:r>
      <w:r>
        <w:rPr>
          <w:b/>
          <w:bCs/>
        </w:rPr>
        <w:t>W</w:t>
      </w:r>
      <w:r>
        <w:rPr>
          <w:rFonts w:hint="eastAsia"/>
          <w:b/>
          <w:bCs/>
        </w:rPr>
        <w:t xml:space="preserve">hen CG failure happens on one cell group, </w:t>
      </w:r>
      <w:r>
        <w:rPr>
          <w:b/>
          <w:bCs/>
        </w:rPr>
        <w:t>t</w:t>
      </w:r>
      <w:r>
        <w:rPr>
          <w:rFonts w:hint="eastAsia"/>
          <w:b/>
          <w:bCs/>
        </w:rPr>
        <w:t xml:space="preserve">he network can </w:t>
      </w:r>
      <w:r>
        <w:rPr>
          <w:b/>
          <w:bCs/>
        </w:rPr>
        <w:t xml:space="preserve">indicate </w:t>
      </w:r>
      <w:r>
        <w:rPr>
          <w:rFonts w:hint="eastAsia"/>
          <w:b/>
          <w:bCs/>
        </w:rPr>
        <w:t xml:space="preserve">whether the UE </w:t>
      </w:r>
      <w:r>
        <w:rPr>
          <w:b/>
          <w:bCs/>
        </w:rPr>
        <w:t xml:space="preserve">should </w:t>
      </w:r>
      <w:r>
        <w:rPr>
          <w:rFonts w:hint="eastAsia"/>
          <w:b/>
          <w:bCs/>
        </w:rPr>
        <w:t>report CG failure information via the other cell group or perform cell selection first</w:t>
      </w:r>
      <w:r>
        <w:rPr>
          <w:b/>
          <w:bCs/>
        </w:rPr>
        <w:t>. I</w:t>
      </w:r>
      <w:r>
        <w:rPr>
          <w:rFonts w:hint="eastAsia"/>
          <w:b/>
          <w:bCs/>
        </w:rPr>
        <w:t>f the selected cell is a CHO candidate cell for this cell group, then the UE attempts CHO execution. Otherwise the UE reports CG failure information via the other cell group.</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4"/>
        </w:numPr>
      </w:pPr>
      <w:bookmarkStart w:id="3" w:name="_Ref27758"/>
      <w:r>
        <w:rPr>
          <w:rFonts w:hint="eastAsia"/>
        </w:rPr>
        <w:t>R</w:t>
      </w:r>
      <w:bookmarkEnd w:id="3"/>
      <w:r>
        <w:rPr>
          <w:rFonts w:hint="eastAsia"/>
        </w:rPr>
        <w:t>AN2#106 meeting chairman notes.</w:t>
      </w:r>
    </w:p>
    <w:p>
      <w:pPr>
        <w:numPr>
          <w:ilvl w:val="0"/>
          <w:numId w:val="4"/>
        </w:numPr>
      </w:pPr>
      <w:r>
        <w:rPr>
          <w:rFonts w:hint="eastAsia"/>
        </w:rPr>
        <w:t>RAN2#105bis meeting chairman notes.</w:t>
      </w:r>
    </w:p>
    <w:p>
      <w:pPr>
        <w:numPr>
          <w:ilvl w:val="0"/>
          <w:numId w:val="4"/>
        </w:numPr>
      </w:pPr>
      <w:r>
        <w:rPr>
          <w:rFonts w:hint="eastAsia"/>
        </w:rPr>
        <w:t>R2-19xxxxx, Discussion on applying CHO based SCG mobility, ZTE Corporation, Sanechips.</w:t>
      </w:r>
    </w:p>
    <w:p>
      <w:pPr>
        <w:rPr>
          <w:b/>
          <w:bCs/>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D3D26"/>
    <w:multiLevelType w:val="singleLevel"/>
    <w:tmpl w:val="AB3D3D26"/>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F0471"/>
    <w:rsid w:val="00FF0AAD"/>
    <w:rsid w:val="00FF29CE"/>
    <w:rsid w:val="00FF2E7C"/>
    <w:rsid w:val="00FF2EAF"/>
    <w:rsid w:val="00FF33F4"/>
    <w:rsid w:val="01131166"/>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E26E7"/>
    <w:rsid w:val="01C05D49"/>
    <w:rsid w:val="01C66A3F"/>
    <w:rsid w:val="01EE78D1"/>
    <w:rsid w:val="02017286"/>
    <w:rsid w:val="02115596"/>
    <w:rsid w:val="0212463B"/>
    <w:rsid w:val="02142423"/>
    <w:rsid w:val="02145888"/>
    <w:rsid w:val="021627D8"/>
    <w:rsid w:val="022D295E"/>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202434"/>
    <w:rsid w:val="0347521D"/>
    <w:rsid w:val="035A5498"/>
    <w:rsid w:val="035B5483"/>
    <w:rsid w:val="036C3B3B"/>
    <w:rsid w:val="037175E3"/>
    <w:rsid w:val="03857386"/>
    <w:rsid w:val="03892EFE"/>
    <w:rsid w:val="039A2405"/>
    <w:rsid w:val="039A4F82"/>
    <w:rsid w:val="039A7700"/>
    <w:rsid w:val="03BD31AF"/>
    <w:rsid w:val="03BE00C0"/>
    <w:rsid w:val="03D52450"/>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204B1C"/>
    <w:rsid w:val="0A2E5DB1"/>
    <w:rsid w:val="0A2F46DB"/>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A01E5E"/>
    <w:rsid w:val="0BA40793"/>
    <w:rsid w:val="0BB77542"/>
    <w:rsid w:val="0BC1136C"/>
    <w:rsid w:val="0BC87CC9"/>
    <w:rsid w:val="0BD9718B"/>
    <w:rsid w:val="0BE64BE6"/>
    <w:rsid w:val="0BEA1A76"/>
    <w:rsid w:val="0BEB698D"/>
    <w:rsid w:val="0BF4523A"/>
    <w:rsid w:val="0C022CD6"/>
    <w:rsid w:val="0C0F2FEF"/>
    <w:rsid w:val="0C115C01"/>
    <w:rsid w:val="0C21687B"/>
    <w:rsid w:val="0C221921"/>
    <w:rsid w:val="0C2B7B6C"/>
    <w:rsid w:val="0C35257F"/>
    <w:rsid w:val="0C4E0C6C"/>
    <w:rsid w:val="0C5C4277"/>
    <w:rsid w:val="0C70637B"/>
    <w:rsid w:val="0C710975"/>
    <w:rsid w:val="0C7A6655"/>
    <w:rsid w:val="0C7D69BF"/>
    <w:rsid w:val="0CB47222"/>
    <w:rsid w:val="0CB5613D"/>
    <w:rsid w:val="0CCA31B6"/>
    <w:rsid w:val="0CCE60AE"/>
    <w:rsid w:val="0CE2368A"/>
    <w:rsid w:val="0CE55396"/>
    <w:rsid w:val="0CF31DF7"/>
    <w:rsid w:val="0CF40AF8"/>
    <w:rsid w:val="0D2C3BFA"/>
    <w:rsid w:val="0D4618D1"/>
    <w:rsid w:val="0D470E01"/>
    <w:rsid w:val="0D5412D9"/>
    <w:rsid w:val="0D563E1D"/>
    <w:rsid w:val="0D5D28E6"/>
    <w:rsid w:val="0D651FC1"/>
    <w:rsid w:val="0D6D666D"/>
    <w:rsid w:val="0D6E7297"/>
    <w:rsid w:val="0D7545AF"/>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4D26CC"/>
    <w:rsid w:val="0E560EFD"/>
    <w:rsid w:val="0E6A01E6"/>
    <w:rsid w:val="0E8C09CF"/>
    <w:rsid w:val="0E8D03D6"/>
    <w:rsid w:val="0E930DC4"/>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97329"/>
    <w:rsid w:val="0FDD3ABD"/>
    <w:rsid w:val="0FDD41C9"/>
    <w:rsid w:val="0FDE34CC"/>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81311E"/>
    <w:rsid w:val="129137BD"/>
    <w:rsid w:val="12AB4AA1"/>
    <w:rsid w:val="12D86D99"/>
    <w:rsid w:val="12EF1DC3"/>
    <w:rsid w:val="12EF741A"/>
    <w:rsid w:val="12F254D0"/>
    <w:rsid w:val="12F3239A"/>
    <w:rsid w:val="12FE42D6"/>
    <w:rsid w:val="130A5E23"/>
    <w:rsid w:val="131C3CE3"/>
    <w:rsid w:val="131D5C4A"/>
    <w:rsid w:val="132A76BE"/>
    <w:rsid w:val="13353240"/>
    <w:rsid w:val="13611100"/>
    <w:rsid w:val="136345D4"/>
    <w:rsid w:val="1365208E"/>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052D81"/>
    <w:rsid w:val="1D110690"/>
    <w:rsid w:val="1D111ED4"/>
    <w:rsid w:val="1D1E5C67"/>
    <w:rsid w:val="1D2C43C8"/>
    <w:rsid w:val="1D335855"/>
    <w:rsid w:val="1D3507AD"/>
    <w:rsid w:val="1D3F4F0A"/>
    <w:rsid w:val="1D6747F5"/>
    <w:rsid w:val="1D702483"/>
    <w:rsid w:val="1D7B7BDF"/>
    <w:rsid w:val="1D7C0AC5"/>
    <w:rsid w:val="1D812F92"/>
    <w:rsid w:val="1D850034"/>
    <w:rsid w:val="1D8B6EC0"/>
    <w:rsid w:val="1DA70EBB"/>
    <w:rsid w:val="1DAF4844"/>
    <w:rsid w:val="1DB15797"/>
    <w:rsid w:val="1DC43BC4"/>
    <w:rsid w:val="1DCC34E5"/>
    <w:rsid w:val="1DCF2EDB"/>
    <w:rsid w:val="1DDE47B5"/>
    <w:rsid w:val="1DFD5D66"/>
    <w:rsid w:val="1E1C0F23"/>
    <w:rsid w:val="1E1D3350"/>
    <w:rsid w:val="1E2D3856"/>
    <w:rsid w:val="1E2E6394"/>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F3B44"/>
    <w:rsid w:val="1FA042BC"/>
    <w:rsid w:val="1FAD75BF"/>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C4E2F"/>
    <w:rsid w:val="213D0E8C"/>
    <w:rsid w:val="2140662B"/>
    <w:rsid w:val="214C3CD5"/>
    <w:rsid w:val="215A2AFE"/>
    <w:rsid w:val="215F458F"/>
    <w:rsid w:val="21711085"/>
    <w:rsid w:val="217228C9"/>
    <w:rsid w:val="218E0201"/>
    <w:rsid w:val="21926F6C"/>
    <w:rsid w:val="21936236"/>
    <w:rsid w:val="21A71340"/>
    <w:rsid w:val="21AE7BDE"/>
    <w:rsid w:val="21B13AA1"/>
    <w:rsid w:val="21B24080"/>
    <w:rsid w:val="21BF67E6"/>
    <w:rsid w:val="21C051BE"/>
    <w:rsid w:val="21C268DE"/>
    <w:rsid w:val="21D061B3"/>
    <w:rsid w:val="21D24CF4"/>
    <w:rsid w:val="21DE47CF"/>
    <w:rsid w:val="21FA7C76"/>
    <w:rsid w:val="21FB378E"/>
    <w:rsid w:val="22086DD5"/>
    <w:rsid w:val="220D602F"/>
    <w:rsid w:val="221122B7"/>
    <w:rsid w:val="221335D5"/>
    <w:rsid w:val="221803B8"/>
    <w:rsid w:val="223F2906"/>
    <w:rsid w:val="22460F19"/>
    <w:rsid w:val="226F2366"/>
    <w:rsid w:val="227167CA"/>
    <w:rsid w:val="22727FD0"/>
    <w:rsid w:val="22805B8B"/>
    <w:rsid w:val="228135D1"/>
    <w:rsid w:val="2281465F"/>
    <w:rsid w:val="22A13519"/>
    <w:rsid w:val="22B23E9D"/>
    <w:rsid w:val="22C54E5E"/>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CE0B3E"/>
    <w:rsid w:val="25CF30BA"/>
    <w:rsid w:val="25D87AE6"/>
    <w:rsid w:val="25E71F78"/>
    <w:rsid w:val="25EA75FB"/>
    <w:rsid w:val="25EB1A7A"/>
    <w:rsid w:val="26033C65"/>
    <w:rsid w:val="26081BF8"/>
    <w:rsid w:val="260C58C5"/>
    <w:rsid w:val="26103B59"/>
    <w:rsid w:val="261F28E2"/>
    <w:rsid w:val="26264554"/>
    <w:rsid w:val="263235F5"/>
    <w:rsid w:val="26333A29"/>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5011C"/>
    <w:rsid w:val="29291D27"/>
    <w:rsid w:val="29334E58"/>
    <w:rsid w:val="29342C80"/>
    <w:rsid w:val="294D1445"/>
    <w:rsid w:val="296D72E7"/>
    <w:rsid w:val="297C4F1B"/>
    <w:rsid w:val="29841FF1"/>
    <w:rsid w:val="299159E7"/>
    <w:rsid w:val="29BD1A42"/>
    <w:rsid w:val="29C562CC"/>
    <w:rsid w:val="29C90D98"/>
    <w:rsid w:val="29E522F6"/>
    <w:rsid w:val="29F50DAE"/>
    <w:rsid w:val="29F8715D"/>
    <w:rsid w:val="2A030B0B"/>
    <w:rsid w:val="2A0857F5"/>
    <w:rsid w:val="2A0C1ECE"/>
    <w:rsid w:val="2A0D2B92"/>
    <w:rsid w:val="2A32766A"/>
    <w:rsid w:val="2A363620"/>
    <w:rsid w:val="2A4006A0"/>
    <w:rsid w:val="2A404777"/>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D58DE"/>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B512F"/>
    <w:rsid w:val="2FF06294"/>
    <w:rsid w:val="2FF13DD5"/>
    <w:rsid w:val="2FF66C8B"/>
    <w:rsid w:val="2FF9135A"/>
    <w:rsid w:val="30121DB6"/>
    <w:rsid w:val="30194267"/>
    <w:rsid w:val="30265DB3"/>
    <w:rsid w:val="303D2A1B"/>
    <w:rsid w:val="303E2FFE"/>
    <w:rsid w:val="30423C79"/>
    <w:rsid w:val="306205C4"/>
    <w:rsid w:val="30657AE9"/>
    <w:rsid w:val="30856D7B"/>
    <w:rsid w:val="308A183B"/>
    <w:rsid w:val="308E5FDF"/>
    <w:rsid w:val="30926D0D"/>
    <w:rsid w:val="309C6DDB"/>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313D66"/>
    <w:rsid w:val="33352864"/>
    <w:rsid w:val="33397206"/>
    <w:rsid w:val="33451D77"/>
    <w:rsid w:val="33516568"/>
    <w:rsid w:val="33530865"/>
    <w:rsid w:val="33547F1F"/>
    <w:rsid w:val="337169E0"/>
    <w:rsid w:val="33796778"/>
    <w:rsid w:val="337F01D0"/>
    <w:rsid w:val="3397431E"/>
    <w:rsid w:val="33AD0C9D"/>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30B60"/>
    <w:rsid w:val="386B0ED9"/>
    <w:rsid w:val="387409B9"/>
    <w:rsid w:val="387D29BE"/>
    <w:rsid w:val="38837E13"/>
    <w:rsid w:val="38862BA8"/>
    <w:rsid w:val="388C5F8D"/>
    <w:rsid w:val="38945C70"/>
    <w:rsid w:val="38A05A0D"/>
    <w:rsid w:val="38A968C8"/>
    <w:rsid w:val="38AB19DA"/>
    <w:rsid w:val="38B96453"/>
    <w:rsid w:val="38C37207"/>
    <w:rsid w:val="38D27E22"/>
    <w:rsid w:val="38F05821"/>
    <w:rsid w:val="38F65986"/>
    <w:rsid w:val="39037914"/>
    <w:rsid w:val="390A3D17"/>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F1B0C"/>
    <w:rsid w:val="3B16341F"/>
    <w:rsid w:val="3B247D05"/>
    <w:rsid w:val="3B2D7969"/>
    <w:rsid w:val="3B4F5659"/>
    <w:rsid w:val="3B587FC0"/>
    <w:rsid w:val="3B5C5E4F"/>
    <w:rsid w:val="3B686802"/>
    <w:rsid w:val="3B8A05C9"/>
    <w:rsid w:val="3B8B65A4"/>
    <w:rsid w:val="3B94771D"/>
    <w:rsid w:val="3B9C51AC"/>
    <w:rsid w:val="3BA86F0F"/>
    <w:rsid w:val="3BB26CEE"/>
    <w:rsid w:val="3BBE4E43"/>
    <w:rsid w:val="3BDE71BE"/>
    <w:rsid w:val="3C0829E0"/>
    <w:rsid w:val="3C0B32C7"/>
    <w:rsid w:val="3C0B7D3C"/>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B3335"/>
    <w:rsid w:val="3CC21E8B"/>
    <w:rsid w:val="3CC258D5"/>
    <w:rsid w:val="3CD30C12"/>
    <w:rsid w:val="3CDC1F42"/>
    <w:rsid w:val="3CF11106"/>
    <w:rsid w:val="3CF1460B"/>
    <w:rsid w:val="3CFE7137"/>
    <w:rsid w:val="3CFF5FCC"/>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833861"/>
    <w:rsid w:val="3E880CDE"/>
    <w:rsid w:val="3E9902BD"/>
    <w:rsid w:val="3EAB68CC"/>
    <w:rsid w:val="3EB45BDF"/>
    <w:rsid w:val="3EC075F2"/>
    <w:rsid w:val="3EC07E82"/>
    <w:rsid w:val="3EC61005"/>
    <w:rsid w:val="3EC64136"/>
    <w:rsid w:val="3ECC6C03"/>
    <w:rsid w:val="3ED037EE"/>
    <w:rsid w:val="3EE16478"/>
    <w:rsid w:val="3EF2130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CC1C7A"/>
    <w:rsid w:val="40D145D9"/>
    <w:rsid w:val="40DA6699"/>
    <w:rsid w:val="40E81F30"/>
    <w:rsid w:val="4107385B"/>
    <w:rsid w:val="4113642B"/>
    <w:rsid w:val="41151751"/>
    <w:rsid w:val="411D5581"/>
    <w:rsid w:val="411F13DA"/>
    <w:rsid w:val="41225E28"/>
    <w:rsid w:val="413635BD"/>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28318E"/>
    <w:rsid w:val="4337362E"/>
    <w:rsid w:val="43377A41"/>
    <w:rsid w:val="433C0AD9"/>
    <w:rsid w:val="435C2DD4"/>
    <w:rsid w:val="43606EE8"/>
    <w:rsid w:val="436D6C7E"/>
    <w:rsid w:val="43825E8E"/>
    <w:rsid w:val="438C60C3"/>
    <w:rsid w:val="43B67D40"/>
    <w:rsid w:val="43C90ABC"/>
    <w:rsid w:val="43D60F59"/>
    <w:rsid w:val="43D6358D"/>
    <w:rsid w:val="43E61AF4"/>
    <w:rsid w:val="43EA6FF8"/>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877F1"/>
    <w:rsid w:val="46043836"/>
    <w:rsid w:val="46163A58"/>
    <w:rsid w:val="461C30A3"/>
    <w:rsid w:val="461F2208"/>
    <w:rsid w:val="462253D7"/>
    <w:rsid w:val="463416CE"/>
    <w:rsid w:val="4638223A"/>
    <w:rsid w:val="4641025F"/>
    <w:rsid w:val="464B761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900172C"/>
    <w:rsid w:val="491451B5"/>
    <w:rsid w:val="491A53A2"/>
    <w:rsid w:val="492C6E96"/>
    <w:rsid w:val="493779BE"/>
    <w:rsid w:val="493F499D"/>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CFA2A1C"/>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C6748D"/>
    <w:rsid w:val="4FD14464"/>
    <w:rsid w:val="4FE20BB5"/>
    <w:rsid w:val="4FE6073F"/>
    <w:rsid w:val="4FE75848"/>
    <w:rsid w:val="4FF267B6"/>
    <w:rsid w:val="4FFA7287"/>
    <w:rsid w:val="500C2485"/>
    <w:rsid w:val="500C2A64"/>
    <w:rsid w:val="50166EE3"/>
    <w:rsid w:val="502C53C6"/>
    <w:rsid w:val="503839AD"/>
    <w:rsid w:val="503B7294"/>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B7231"/>
    <w:rsid w:val="51DE6A73"/>
    <w:rsid w:val="51F326E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794F8B"/>
    <w:rsid w:val="557B4C8B"/>
    <w:rsid w:val="55832F33"/>
    <w:rsid w:val="558A5F58"/>
    <w:rsid w:val="558D782E"/>
    <w:rsid w:val="558F42FA"/>
    <w:rsid w:val="55951C70"/>
    <w:rsid w:val="55B52DF8"/>
    <w:rsid w:val="55BB4B52"/>
    <w:rsid w:val="55CA34C8"/>
    <w:rsid w:val="55CB1CAC"/>
    <w:rsid w:val="55D11067"/>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82126"/>
    <w:rsid w:val="56F267E1"/>
    <w:rsid w:val="56F540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957BD9"/>
    <w:rsid w:val="58A03185"/>
    <w:rsid w:val="58A04280"/>
    <w:rsid w:val="58A74E2C"/>
    <w:rsid w:val="58B50A9E"/>
    <w:rsid w:val="58B54357"/>
    <w:rsid w:val="58B67D21"/>
    <w:rsid w:val="58C213D0"/>
    <w:rsid w:val="58CA2633"/>
    <w:rsid w:val="58D108AB"/>
    <w:rsid w:val="58E849A9"/>
    <w:rsid w:val="58F14B54"/>
    <w:rsid w:val="590848BC"/>
    <w:rsid w:val="5917423E"/>
    <w:rsid w:val="593B0E3D"/>
    <w:rsid w:val="594C374D"/>
    <w:rsid w:val="59523F34"/>
    <w:rsid w:val="59565A07"/>
    <w:rsid w:val="595912C2"/>
    <w:rsid w:val="59826013"/>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105C3"/>
    <w:rsid w:val="5A58463C"/>
    <w:rsid w:val="5A5925FE"/>
    <w:rsid w:val="5A5A54FE"/>
    <w:rsid w:val="5A5A763A"/>
    <w:rsid w:val="5A70416F"/>
    <w:rsid w:val="5A751708"/>
    <w:rsid w:val="5A8654CC"/>
    <w:rsid w:val="5A8D164F"/>
    <w:rsid w:val="5AAD6717"/>
    <w:rsid w:val="5AB032EE"/>
    <w:rsid w:val="5AB36283"/>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604556"/>
    <w:rsid w:val="5DA03427"/>
    <w:rsid w:val="5DA12B26"/>
    <w:rsid w:val="5DA52D6F"/>
    <w:rsid w:val="5DBE365D"/>
    <w:rsid w:val="5DF242AA"/>
    <w:rsid w:val="5DF27D5A"/>
    <w:rsid w:val="5DF90388"/>
    <w:rsid w:val="5E040059"/>
    <w:rsid w:val="5E084C7B"/>
    <w:rsid w:val="5E0914A4"/>
    <w:rsid w:val="5E1844B1"/>
    <w:rsid w:val="5E1F00DC"/>
    <w:rsid w:val="5E2349C0"/>
    <w:rsid w:val="5E250B5E"/>
    <w:rsid w:val="5E325F47"/>
    <w:rsid w:val="5E3C6C0B"/>
    <w:rsid w:val="5E3F4424"/>
    <w:rsid w:val="5E433908"/>
    <w:rsid w:val="5E506258"/>
    <w:rsid w:val="5E596E47"/>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C57C91"/>
    <w:rsid w:val="5FCE245F"/>
    <w:rsid w:val="5FD32219"/>
    <w:rsid w:val="5FDC1B9B"/>
    <w:rsid w:val="5FF50B7C"/>
    <w:rsid w:val="5FF74A8C"/>
    <w:rsid w:val="5FFB1252"/>
    <w:rsid w:val="60072412"/>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D00F1"/>
    <w:rsid w:val="61C02FF5"/>
    <w:rsid w:val="61D55291"/>
    <w:rsid w:val="61DB6C55"/>
    <w:rsid w:val="61EE19CC"/>
    <w:rsid w:val="61F354C2"/>
    <w:rsid w:val="6209128F"/>
    <w:rsid w:val="620E5D8A"/>
    <w:rsid w:val="62125083"/>
    <w:rsid w:val="62262E7A"/>
    <w:rsid w:val="6231003C"/>
    <w:rsid w:val="62366488"/>
    <w:rsid w:val="623B63B7"/>
    <w:rsid w:val="623F4920"/>
    <w:rsid w:val="62494F09"/>
    <w:rsid w:val="624A1B49"/>
    <w:rsid w:val="624E45D8"/>
    <w:rsid w:val="6250617C"/>
    <w:rsid w:val="62520DCA"/>
    <w:rsid w:val="62666F47"/>
    <w:rsid w:val="62690F67"/>
    <w:rsid w:val="627A370F"/>
    <w:rsid w:val="62990512"/>
    <w:rsid w:val="62B25649"/>
    <w:rsid w:val="62BC6E00"/>
    <w:rsid w:val="62C56FE5"/>
    <w:rsid w:val="62C7240E"/>
    <w:rsid w:val="62EA423D"/>
    <w:rsid w:val="630031BE"/>
    <w:rsid w:val="630E78F0"/>
    <w:rsid w:val="63103FC7"/>
    <w:rsid w:val="63160CAE"/>
    <w:rsid w:val="631652DA"/>
    <w:rsid w:val="631D3111"/>
    <w:rsid w:val="63204A36"/>
    <w:rsid w:val="63250A4F"/>
    <w:rsid w:val="63283C61"/>
    <w:rsid w:val="632E1C39"/>
    <w:rsid w:val="633B5E70"/>
    <w:rsid w:val="635342C2"/>
    <w:rsid w:val="635B4F0A"/>
    <w:rsid w:val="6361690C"/>
    <w:rsid w:val="636D152D"/>
    <w:rsid w:val="63727389"/>
    <w:rsid w:val="63733461"/>
    <w:rsid w:val="63740D84"/>
    <w:rsid w:val="637E3BE7"/>
    <w:rsid w:val="63850E8E"/>
    <w:rsid w:val="63882CEE"/>
    <w:rsid w:val="638C4CDE"/>
    <w:rsid w:val="63905FCF"/>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B36D91"/>
    <w:rsid w:val="67CD4770"/>
    <w:rsid w:val="67DF5131"/>
    <w:rsid w:val="67E0527D"/>
    <w:rsid w:val="67E31422"/>
    <w:rsid w:val="67EA4D75"/>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7169A"/>
    <w:rsid w:val="6A1904ED"/>
    <w:rsid w:val="6A252E83"/>
    <w:rsid w:val="6A2B39A2"/>
    <w:rsid w:val="6A4E63D2"/>
    <w:rsid w:val="6A72023C"/>
    <w:rsid w:val="6A835F76"/>
    <w:rsid w:val="6A892BBB"/>
    <w:rsid w:val="6A9010CD"/>
    <w:rsid w:val="6A934155"/>
    <w:rsid w:val="6A960F65"/>
    <w:rsid w:val="6A977D6C"/>
    <w:rsid w:val="6A981DCD"/>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97405"/>
    <w:rsid w:val="6E0E1028"/>
    <w:rsid w:val="6E101629"/>
    <w:rsid w:val="6E145A7C"/>
    <w:rsid w:val="6E160D9C"/>
    <w:rsid w:val="6E2C098B"/>
    <w:rsid w:val="6E4662DC"/>
    <w:rsid w:val="6E511E37"/>
    <w:rsid w:val="6E5B554A"/>
    <w:rsid w:val="6E5C7D35"/>
    <w:rsid w:val="6E674912"/>
    <w:rsid w:val="6E6A4764"/>
    <w:rsid w:val="6E7251A5"/>
    <w:rsid w:val="6E746D80"/>
    <w:rsid w:val="6E9821A1"/>
    <w:rsid w:val="6EA2047A"/>
    <w:rsid w:val="6EB02A3D"/>
    <w:rsid w:val="6EB61295"/>
    <w:rsid w:val="6ECE7848"/>
    <w:rsid w:val="6ECE78F2"/>
    <w:rsid w:val="6EDD0E4F"/>
    <w:rsid w:val="6EEB23CD"/>
    <w:rsid w:val="6EEB289D"/>
    <w:rsid w:val="6EEC2156"/>
    <w:rsid w:val="6EF76E3B"/>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81D10"/>
    <w:rsid w:val="71B95C18"/>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6C5886"/>
    <w:rsid w:val="727205E6"/>
    <w:rsid w:val="727262A0"/>
    <w:rsid w:val="727B396C"/>
    <w:rsid w:val="72806500"/>
    <w:rsid w:val="728511DC"/>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C068A9"/>
    <w:rsid w:val="75CC0E61"/>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625528"/>
    <w:rsid w:val="7963001B"/>
    <w:rsid w:val="796411F3"/>
    <w:rsid w:val="796528F1"/>
    <w:rsid w:val="79782668"/>
    <w:rsid w:val="797D7C7B"/>
    <w:rsid w:val="798473C1"/>
    <w:rsid w:val="798D0CB1"/>
    <w:rsid w:val="79A917D5"/>
    <w:rsid w:val="79F866D7"/>
    <w:rsid w:val="7A0D5030"/>
    <w:rsid w:val="7A1F0B92"/>
    <w:rsid w:val="7A2F0FE2"/>
    <w:rsid w:val="7A2F6A25"/>
    <w:rsid w:val="7A375628"/>
    <w:rsid w:val="7A3B0D02"/>
    <w:rsid w:val="7A3C0448"/>
    <w:rsid w:val="7A462225"/>
    <w:rsid w:val="7A4B1579"/>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354C7"/>
    <w:rsid w:val="7D941C0F"/>
    <w:rsid w:val="7DAB67A3"/>
    <w:rsid w:val="7DB44B27"/>
    <w:rsid w:val="7DB82B5F"/>
    <w:rsid w:val="7DBF30E5"/>
    <w:rsid w:val="7DC92892"/>
    <w:rsid w:val="7DD3555C"/>
    <w:rsid w:val="7DDC1687"/>
    <w:rsid w:val="7DDC5561"/>
    <w:rsid w:val="7DE53A1D"/>
    <w:rsid w:val="7DE805EC"/>
    <w:rsid w:val="7E0D1655"/>
    <w:rsid w:val="7E0E4C52"/>
    <w:rsid w:val="7E180D00"/>
    <w:rsid w:val="7E1A5F33"/>
    <w:rsid w:val="7E1B1677"/>
    <w:rsid w:val="7E1B4DBE"/>
    <w:rsid w:val="7E3B0F1A"/>
    <w:rsid w:val="7E4C0278"/>
    <w:rsid w:val="7E5426EF"/>
    <w:rsid w:val="7E554F28"/>
    <w:rsid w:val="7E582A5A"/>
    <w:rsid w:val="7E705793"/>
    <w:rsid w:val="7E8209B3"/>
    <w:rsid w:val="7E851695"/>
    <w:rsid w:val="7E865444"/>
    <w:rsid w:val="7E970A59"/>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A01833-8748-416F-906C-2DA994EA713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1381</Words>
  <Characters>7874</Characters>
  <Lines>65</Lines>
  <Paragraphs>18</Paragraphs>
  <TotalTime>10</TotalTime>
  <ScaleCrop>false</ScaleCrop>
  <LinksUpToDate>false</LinksUpToDate>
  <CharactersWithSpaces>9237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2019-08-16T00:31:00Z</dcterms:created>
  <dc:creator>10033860</dc:creator>
  <cp:lastModifiedBy>00244237</cp:lastModifiedBy>
  <cp:lastPrinted>2113-01-01T00:00:00Z</cp:lastPrinted>
  <dcterms:modified xsi:type="dcterms:W3CDTF">2019-08-16T01:52:27Z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